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D67D5" w14:textId="1D466EC7" w:rsidR="00457A9D" w:rsidRDefault="00841EC9">
      <w:pPr>
        <w:rPr>
          <w:rFonts w:ascii="Arial" w:hAnsi="Arial" w:cs="Arial"/>
          <w:sz w:val="32"/>
          <w:szCs w:val="32"/>
        </w:rPr>
      </w:pPr>
      <w:r>
        <w:rPr>
          <w:rFonts w:ascii="Arial" w:hAnsi="Arial" w:cs="Arial"/>
          <w:sz w:val="32"/>
          <w:szCs w:val="32"/>
        </w:rPr>
        <w:t>Ed</w:t>
      </w:r>
      <w:r w:rsidR="007F5D5A">
        <w:rPr>
          <w:rFonts w:ascii="Arial" w:hAnsi="Arial" w:cs="Arial"/>
          <w:sz w:val="32"/>
          <w:szCs w:val="32"/>
        </w:rPr>
        <w:t>excel International GCSE Chemistry 4CH</w:t>
      </w:r>
      <w:r>
        <w:rPr>
          <w:rFonts w:ascii="Arial" w:hAnsi="Arial" w:cs="Arial"/>
          <w:sz w:val="32"/>
          <w:szCs w:val="32"/>
        </w:rPr>
        <w:t>1</w:t>
      </w:r>
      <w:r w:rsidR="00E976BB">
        <w:rPr>
          <w:rFonts w:ascii="Arial" w:hAnsi="Arial" w:cs="Arial"/>
          <w:sz w:val="32"/>
          <w:szCs w:val="32"/>
        </w:rPr>
        <w:t xml:space="preserve"> Learning Plan</w:t>
      </w:r>
    </w:p>
    <w:tbl>
      <w:tblPr>
        <w:tblStyle w:val="TableGrid"/>
        <w:tblW w:w="0" w:type="auto"/>
        <w:tblLook w:val="04A0" w:firstRow="1" w:lastRow="0" w:firstColumn="1" w:lastColumn="0" w:noHBand="0" w:noVBand="1"/>
      </w:tblPr>
      <w:tblGrid>
        <w:gridCol w:w="2448"/>
        <w:gridCol w:w="2970"/>
        <w:gridCol w:w="4031"/>
        <w:gridCol w:w="2539"/>
        <w:gridCol w:w="2186"/>
      </w:tblGrid>
      <w:tr w:rsidR="00841EC9" w14:paraId="10370CFE" w14:textId="77777777" w:rsidTr="00841EC9">
        <w:tc>
          <w:tcPr>
            <w:tcW w:w="5418" w:type="dxa"/>
            <w:gridSpan w:val="2"/>
          </w:tcPr>
          <w:p w14:paraId="60950CDA" w14:textId="77813A2F" w:rsidR="00841EC9" w:rsidRPr="007D108C" w:rsidRDefault="00841EC9" w:rsidP="003E2012">
            <w:pPr>
              <w:rPr>
                <w:rFonts w:ascii="Arial" w:hAnsi="Arial" w:cs="Arial"/>
                <w:b/>
                <w:sz w:val="32"/>
                <w:szCs w:val="32"/>
              </w:rPr>
            </w:pPr>
            <w:r w:rsidRPr="007D108C">
              <w:rPr>
                <w:rFonts w:ascii="Arial" w:hAnsi="Arial" w:cs="Arial"/>
                <w:b/>
                <w:sz w:val="32"/>
                <w:szCs w:val="32"/>
              </w:rPr>
              <w:t xml:space="preserve">  </w:t>
            </w:r>
            <w:r>
              <w:rPr>
                <w:rFonts w:ascii="Arial" w:hAnsi="Arial" w:cs="Arial"/>
                <w:b/>
                <w:sz w:val="32"/>
                <w:szCs w:val="32"/>
              </w:rPr>
              <w:t>Unit:</w:t>
            </w:r>
            <w:r w:rsidR="00844A4C">
              <w:rPr>
                <w:rFonts w:ascii="Arial" w:hAnsi="Arial" w:cs="Arial"/>
                <w:b/>
                <w:sz w:val="32"/>
                <w:szCs w:val="32"/>
              </w:rPr>
              <w:t xml:space="preserve"> </w:t>
            </w:r>
            <w:r w:rsidR="003E2012">
              <w:rPr>
                <w:rFonts w:ascii="Arial" w:hAnsi="Arial" w:cs="Arial"/>
                <w:b/>
                <w:sz w:val="32"/>
                <w:szCs w:val="32"/>
              </w:rPr>
              <w:t>2. Inorganic Chemistry</w:t>
            </w:r>
          </w:p>
        </w:tc>
        <w:tc>
          <w:tcPr>
            <w:tcW w:w="6570" w:type="dxa"/>
            <w:gridSpan w:val="2"/>
          </w:tcPr>
          <w:p w14:paraId="511AE30F" w14:textId="2FDDC581" w:rsidR="00841EC9" w:rsidRPr="007D108C" w:rsidRDefault="00841EC9" w:rsidP="005A0C78">
            <w:pPr>
              <w:rPr>
                <w:rFonts w:ascii="Arial" w:hAnsi="Arial" w:cs="Arial"/>
                <w:b/>
                <w:sz w:val="32"/>
                <w:szCs w:val="32"/>
              </w:rPr>
            </w:pPr>
            <w:r>
              <w:rPr>
                <w:rFonts w:ascii="Arial" w:hAnsi="Arial" w:cs="Arial"/>
                <w:b/>
                <w:sz w:val="32"/>
                <w:szCs w:val="32"/>
              </w:rPr>
              <w:t xml:space="preserve">Chapter: </w:t>
            </w:r>
            <w:r w:rsidR="005A0C78" w:rsidRPr="005A0C78">
              <w:rPr>
                <w:rFonts w:ascii="Arial" w:hAnsi="Arial" w:cs="Arial"/>
                <w:b/>
                <w:sz w:val="32"/>
                <w:szCs w:val="32"/>
              </w:rPr>
              <w:t>16. Acids, Alkalis and Titrations</w:t>
            </w:r>
          </w:p>
        </w:tc>
        <w:tc>
          <w:tcPr>
            <w:tcW w:w="2186" w:type="dxa"/>
          </w:tcPr>
          <w:p w14:paraId="0F858474" w14:textId="3CC1CEEA" w:rsidR="00841EC9" w:rsidRPr="007D108C" w:rsidRDefault="00841EC9" w:rsidP="009713DB">
            <w:pPr>
              <w:rPr>
                <w:rFonts w:ascii="Arial" w:hAnsi="Arial" w:cs="Arial"/>
                <w:b/>
                <w:sz w:val="32"/>
                <w:szCs w:val="32"/>
              </w:rPr>
            </w:pPr>
            <w:r>
              <w:rPr>
                <w:rFonts w:ascii="Arial" w:hAnsi="Arial" w:cs="Arial"/>
                <w:b/>
                <w:sz w:val="32"/>
                <w:szCs w:val="32"/>
              </w:rPr>
              <w:t>Hours:</w:t>
            </w:r>
            <w:r w:rsidR="000E1199">
              <w:rPr>
                <w:rFonts w:ascii="Arial" w:hAnsi="Arial" w:cs="Arial"/>
                <w:b/>
                <w:sz w:val="32"/>
                <w:szCs w:val="32"/>
              </w:rPr>
              <w:t xml:space="preserve"> </w:t>
            </w:r>
            <w:r w:rsidR="005A6232">
              <w:rPr>
                <w:rFonts w:ascii="Arial" w:hAnsi="Arial" w:cs="Arial"/>
                <w:b/>
                <w:sz w:val="32"/>
                <w:szCs w:val="32"/>
              </w:rPr>
              <w:t>4</w:t>
            </w:r>
            <w:bookmarkStart w:id="0" w:name="_GoBack"/>
            <w:bookmarkEnd w:id="0"/>
          </w:p>
        </w:tc>
      </w:tr>
      <w:tr w:rsidR="00D533B9" w14:paraId="7F27964B" w14:textId="77777777" w:rsidTr="00D533B9">
        <w:tc>
          <w:tcPr>
            <w:tcW w:w="2448" w:type="dxa"/>
          </w:tcPr>
          <w:p w14:paraId="47821373" w14:textId="6B3C6B75" w:rsidR="00D533B9" w:rsidRPr="00D533B9" w:rsidRDefault="00D533B9">
            <w:pPr>
              <w:rPr>
                <w:rFonts w:ascii="Arial" w:hAnsi="Arial" w:cs="Arial"/>
                <w:sz w:val="28"/>
                <w:szCs w:val="28"/>
              </w:rPr>
            </w:pPr>
            <w:r w:rsidRPr="00D533B9">
              <w:rPr>
                <w:rFonts w:ascii="Arial" w:hAnsi="Arial" w:cs="Arial"/>
                <w:sz w:val="28"/>
                <w:szCs w:val="28"/>
              </w:rPr>
              <w:t>Content coverage</w:t>
            </w:r>
          </w:p>
        </w:tc>
        <w:tc>
          <w:tcPr>
            <w:tcW w:w="2970" w:type="dxa"/>
          </w:tcPr>
          <w:p w14:paraId="2AFA1E41" w14:textId="07F35594" w:rsidR="00D533B9" w:rsidRDefault="00D533B9">
            <w:pPr>
              <w:rPr>
                <w:rFonts w:ascii="Arial" w:hAnsi="Arial" w:cs="Arial"/>
                <w:sz w:val="32"/>
                <w:szCs w:val="32"/>
              </w:rPr>
            </w:pPr>
            <w:r>
              <w:rPr>
                <w:rFonts w:ascii="Arial" w:hAnsi="Arial" w:cs="Arial"/>
                <w:sz w:val="32"/>
                <w:szCs w:val="32"/>
              </w:rPr>
              <w:t>Learning outcomes</w:t>
            </w:r>
          </w:p>
        </w:tc>
        <w:tc>
          <w:tcPr>
            <w:tcW w:w="4031" w:type="dxa"/>
          </w:tcPr>
          <w:p w14:paraId="58675D02" w14:textId="77777777" w:rsidR="00D533B9" w:rsidRDefault="00D533B9">
            <w:pPr>
              <w:rPr>
                <w:rFonts w:ascii="Arial" w:hAnsi="Arial" w:cs="Arial"/>
                <w:sz w:val="32"/>
                <w:szCs w:val="32"/>
              </w:rPr>
            </w:pPr>
            <w:r>
              <w:rPr>
                <w:rFonts w:ascii="Arial" w:hAnsi="Arial" w:cs="Arial"/>
                <w:sz w:val="32"/>
                <w:szCs w:val="32"/>
              </w:rPr>
              <w:t>Resources</w:t>
            </w:r>
          </w:p>
        </w:tc>
        <w:tc>
          <w:tcPr>
            <w:tcW w:w="4725" w:type="dxa"/>
            <w:gridSpan w:val="2"/>
          </w:tcPr>
          <w:p w14:paraId="1067F4D0" w14:textId="77777777" w:rsidR="00D533B9" w:rsidRDefault="00D533B9">
            <w:pPr>
              <w:rPr>
                <w:rFonts w:ascii="Arial" w:hAnsi="Arial" w:cs="Arial"/>
                <w:sz w:val="32"/>
                <w:szCs w:val="32"/>
              </w:rPr>
            </w:pPr>
            <w:r>
              <w:rPr>
                <w:rFonts w:ascii="Arial" w:hAnsi="Arial" w:cs="Arial"/>
                <w:sz w:val="32"/>
                <w:szCs w:val="32"/>
              </w:rPr>
              <w:t>Assessment</w:t>
            </w:r>
          </w:p>
        </w:tc>
      </w:tr>
      <w:tr w:rsidR="00D533B9" w14:paraId="606B53F4" w14:textId="77777777" w:rsidTr="00D533B9">
        <w:tc>
          <w:tcPr>
            <w:tcW w:w="2448" w:type="dxa"/>
          </w:tcPr>
          <w:p w14:paraId="726FADF8" w14:textId="78B67354" w:rsidR="00D533B9" w:rsidRDefault="00D533B9" w:rsidP="003C521F">
            <w:pPr>
              <w:autoSpaceDE w:val="0"/>
              <w:autoSpaceDN w:val="0"/>
              <w:adjustRightInd w:val="0"/>
              <w:spacing w:before="40" w:after="40" w:line="200" w:lineRule="atLeast"/>
              <w:rPr>
                <w:szCs w:val="18"/>
              </w:rPr>
            </w:pPr>
          </w:p>
          <w:p w14:paraId="417205B2" w14:textId="77777777" w:rsidR="004E232E" w:rsidRDefault="004E232E" w:rsidP="003C521F">
            <w:pPr>
              <w:autoSpaceDE w:val="0"/>
              <w:autoSpaceDN w:val="0"/>
              <w:adjustRightInd w:val="0"/>
              <w:spacing w:before="40" w:after="40" w:line="200" w:lineRule="atLeast"/>
              <w:rPr>
                <w:szCs w:val="18"/>
              </w:rPr>
            </w:pPr>
          </w:p>
          <w:p w14:paraId="0A1DD5F7" w14:textId="77777777" w:rsidR="00422901" w:rsidRPr="00D02672" w:rsidRDefault="00422901" w:rsidP="00422901">
            <w:pPr>
              <w:pStyle w:val="Text"/>
              <w:rPr>
                <w:rFonts w:ascii="Arial" w:hAnsi="Arial" w:cs="Arial"/>
                <w:b/>
                <w:sz w:val="18"/>
                <w:szCs w:val="18"/>
              </w:rPr>
            </w:pPr>
            <w:r w:rsidRPr="00D02672">
              <w:rPr>
                <w:rFonts w:ascii="Arial" w:hAnsi="Arial" w:cs="Arial"/>
                <w:b/>
                <w:sz w:val="18"/>
                <w:szCs w:val="18"/>
              </w:rPr>
              <w:t>Section 2: Inorganic chemistry</w:t>
            </w:r>
          </w:p>
          <w:p w14:paraId="74A3CFC1" w14:textId="3ED6481E" w:rsidR="004E232E" w:rsidRDefault="00422901" w:rsidP="003C521F">
            <w:pPr>
              <w:autoSpaceDE w:val="0"/>
              <w:autoSpaceDN w:val="0"/>
              <w:adjustRightInd w:val="0"/>
              <w:spacing w:before="40" w:after="40" w:line="200" w:lineRule="atLeast"/>
              <w:rPr>
                <w:szCs w:val="18"/>
              </w:rPr>
            </w:pPr>
            <w:r w:rsidRPr="00D02672">
              <w:rPr>
                <w:rFonts w:ascii="Arial" w:hAnsi="Arial" w:cs="Arial"/>
                <w:sz w:val="18"/>
                <w:szCs w:val="18"/>
              </w:rPr>
              <w:t>(f) Acids, alkalis and titrations</w:t>
            </w:r>
          </w:p>
          <w:p w14:paraId="4B6606BD" w14:textId="77777777" w:rsidR="004E232E" w:rsidRDefault="004E232E" w:rsidP="003C521F">
            <w:pPr>
              <w:autoSpaceDE w:val="0"/>
              <w:autoSpaceDN w:val="0"/>
              <w:adjustRightInd w:val="0"/>
              <w:spacing w:before="40" w:after="40" w:line="200" w:lineRule="atLeast"/>
              <w:rPr>
                <w:szCs w:val="18"/>
              </w:rPr>
            </w:pPr>
          </w:p>
          <w:p w14:paraId="241D6298" w14:textId="77777777" w:rsidR="004E232E" w:rsidRDefault="004E232E" w:rsidP="003C521F">
            <w:pPr>
              <w:autoSpaceDE w:val="0"/>
              <w:autoSpaceDN w:val="0"/>
              <w:adjustRightInd w:val="0"/>
              <w:spacing w:before="40" w:after="40" w:line="200" w:lineRule="atLeast"/>
              <w:rPr>
                <w:szCs w:val="18"/>
              </w:rPr>
            </w:pPr>
          </w:p>
          <w:p w14:paraId="165C2435" w14:textId="77777777" w:rsidR="004E232E" w:rsidRDefault="004E232E" w:rsidP="003C521F">
            <w:pPr>
              <w:autoSpaceDE w:val="0"/>
              <w:autoSpaceDN w:val="0"/>
              <w:adjustRightInd w:val="0"/>
              <w:spacing w:before="40" w:after="40" w:line="200" w:lineRule="atLeast"/>
              <w:rPr>
                <w:szCs w:val="18"/>
              </w:rPr>
            </w:pPr>
          </w:p>
          <w:p w14:paraId="67E5C790" w14:textId="77777777" w:rsidR="004E232E" w:rsidRDefault="004E232E" w:rsidP="003C521F">
            <w:pPr>
              <w:autoSpaceDE w:val="0"/>
              <w:autoSpaceDN w:val="0"/>
              <w:adjustRightInd w:val="0"/>
              <w:spacing w:before="40" w:after="40" w:line="200" w:lineRule="atLeast"/>
              <w:rPr>
                <w:szCs w:val="18"/>
              </w:rPr>
            </w:pPr>
          </w:p>
          <w:p w14:paraId="7525D5FF" w14:textId="77777777" w:rsidR="004E232E" w:rsidRDefault="004E232E" w:rsidP="003C521F">
            <w:pPr>
              <w:autoSpaceDE w:val="0"/>
              <w:autoSpaceDN w:val="0"/>
              <w:adjustRightInd w:val="0"/>
              <w:spacing w:before="40" w:after="40" w:line="200" w:lineRule="atLeast"/>
              <w:rPr>
                <w:szCs w:val="18"/>
              </w:rPr>
            </w:pPr>
          </w:p>
          <w:p w14:paraId="478F8D0D" w14:textId="77777777" w:rsidR="004E232E" w:rsidRDefault="004E232E" w:rsidP="003C521F">
            <w:pPr>
              <w:autoSpaceDE w:val="0"/>
              <w:autoSpaceDN w:val="0"/>
              <w:adjustRightInd w:val="0"/>
              <w:spacing w:before="40" w:after="40" w:line="200" w:lineRule="atLeast"/>
              <w:rPr>
                <w:szCs w:val="18"/>
              </w:rPr>
            </w:pPr>
          </w:p>
          <w:p w14:paraId="6922F779" w14:textId="77777777" w:rsidR="004E232E" w:rsidRDefault="004E232E" w:rsidP="003C521F">
            <w:pPr>
              <w:autoSpaceDE w:val="0"/>
              <w:autoSpaceDN w:val="0"/>
              <w:adjustRightInd w:val="0"/>
              <w:spacing w:before="40" w:after="40" w:line="200" w:lineRule="atLeast"/>
              <w:rPr>
                <w:szCs w:val="18"/>
              </w:rPr>
            </w:pPr>
          </w:p>
          <w:p w14:paraId="7D7CCF4B" w14:textId="77777777" w:rsidR="004E232E" w:rsidRDefault="004E232E" w:rsidP="003C521F">
            <w:pPr>
              <w:autoSpaceDE w:val="0"/>
              <w:autoSpaceDN w:val="0"/>
              <w:adjustRightInd w:val="0"/>
              <w:spacing w:before="40" w:after="40" w:line="200" w:lineRule="atLeast"/>
              <w:rPr>
                <w:szCs w:val="18"/>
              </w:rPr>
            </w:pPr>
          </w:p>
          <w:p w14:paraId="3829777E" w14:textId="77777777" w:rsidR="004E232E" w:rsidRDefault="004E232E" w:rsidP="003C521F">
            <w:pPr>
              <w:autoSpaceDE w:val="0"/>
              <w:autoSpaceDN w:val="0"/>
              <w:adjustRightInd w:val="0"/>
              <w:spacing w:before="40" w:after="40" w:line="200" w:lineRule="atLeast"/>
              <w:rPr>
                <w:szCs w:val="18"/>
              </w:rPr>
            </w:pPr>
          </w:p>
          <w:p w14:paraId="29D9F15F" w14:textId="77777777" w:rsidR="004E232E" w:rsidRDefault="004E232E" w:rsidP="003C521F">
            <w:pPr>
              <w:autoSpaceDE w:val="0"/>
              <w:autoSpaceDN w:val="0"/>
              <w:adjustRightInd w:val="0"/>
              <w:spacing w:before="40" w:after="40" w:line="200" w:lineRule="atLeast"/>
              <w:rPr>
                <w:szCs w:val="18"/>
              </w:rPr>
            </w:pPr>
          </w:p>
          <w:p w14:paraId="290D7FC3" w14:textId="77777777" w:rsidR="004E232E" w:rsidRDefault="004E232E" w:rsidP="003C521F">
            <w:pPr>
              <w:autoSpaceDE w:val="0"/>
              <w:autoSpaceDN w:val="0"/>
              <w:adjustRightInd w:val="0"/>
              <w:spacing w:before="40" w:after="40" w:line="200" w:lineRule="atLeast"/>
              <w:rPr>
                <w:szCs w:val="18"/>
              </w:rPr>
            </w:pPr>
          </w:p>
          <w:p w14:paraId="05EB22CD" w14:textId="77777777" w:rsidR="004E232E" w:rsidRDefault="004E232E" w:rsidP="003C521F">
            <w:pPr>
              <w:autoSpaceDE w:val="0"/>
              <w:autoSpaceDN w:val="0"/>
              <w:adjustRightInd w:val="0"/>
              <w:spacing w:before="40" w:after="40" w:line="200" w:lineRule="atLeast"/>
              <w:rPr>
                <w:szCs w:val="18"/>
              </w:rPr>
            </w:pPr>
          </w:p>
          <w:p w14:paraId="28A2C67A" w14:textId="77777777" w:rsidR="004E232E" w:rsidRDefault="004E232E" w:rsidP="003C521F">
            <w:pPr>
              <w:autoSpaceDE w:val="0"/>
              <w:autoSpaceDN w:val="0"/>
              <w:adjustRightInd w:val="0"/>
              <w:spacing w:before="40" w:after="40" w:line="200" w:lineRule="atLeast"/>
              <w:rPr>
                <w:szCs w:val="18"/>
              </w:rPr>
            </w:pPr>
          </w:p>
          <w:p w14:paraId="07A4EC0C" w14:textId="77777777" w:rsidR="004E232E" w:rsidRDefault="004E232E" w:rsidP="003C521F">
            <w:pPr>
              <w:autoSpaceDE w:val="0"/>
              <w:autoSpaceDN w:val="0"/>
              <w:adjustRightInd w:val="0"/>
              <w:spacing w:before="40" w:after="40" w:line="200" w:lineRule="atLeast"/>
              <w:rPr>
                <w:szCs w:val="18"/>
              </w:rPr>
            </w:pPr>
          </w:p>
          <w:p w14:paraId="5D0044E6" w14:textId="77777777" w:rsidR="004E232E" w:rsidRDefault="004E232E" w:rsidP="003C521F">
            <w:pPr>
              <w:autoSpaceDE w:val="0"/>
              <w:autoSpaceDN w:val="0"/>
              <w:adjustRightInd w:val="0"/>
              <w:spacing w:before="40" w:after="40" w:line="200" w:lineRule="atLeast"/>
              <w:rPr>
                <w:szCs w:val="18"/>
              </w:rPr>
            </w:pPr>
          </w:p>
          <w:p w14:paraId="2680B288" w14:textId="2A7B571E" w:rsidR="004E232E" w:rsidRPr="007D405D" w:rsidRDefault="004E232E" w:rsidP="003C521F">
            <w:pPr>
              <w:autoSpaceDE w:val="0"/>
              <w:autoSpaceDN w:val="0"/>
              <w:adjustRightInd w:val="0"/>
              <w:spacing w:before="40" w:after="40" w:line="200" w:lineRule="atLeast"/>
              <w:rPr>
                <w:rFonts w:ascii="Arial" w:hAnsi="Arial" w:cs="Arial"/>
                <w:sz w:val="24"/>
                <w:szCs w:val="24"/>
              </w:rPr>
            </w:pPr>
          </w:p>
        </w:tc>
        <w:tc>
          <w:tcPr>
            <w:tcW w:w="2970" w:type="dxa"/>
          </w:tcPr>
          <w:p w14:paraId="64202A96" w14:textId="0A73666A" w:rsidR="004E232E" w:rsidRPr="004E232E" w:rsidRDefault="004E232E" w:rsidP="004E232E">
            <w:pPr>
              <w:rPr>
                <w:b/>
                <w:sz w:val="11"/>
                <w:szCs w:val="11"/>
              </w:rPr>
            </w:pPr>
          </w:p>
          <w:p w14:paraId="31ED8139" w14:textId="77777777" w:rsidR="00422901" w:rsidRPr="00D02672" w:rsidRDefault="00422901" w:rsidP="00422901">
            <w:pPr>
              <w:pStyle w:val="U-text-i"/>
            </w:pPr>
            <w:r w:rsidRPr="00D02672">
              <w:t>Students will be assessed on their ability to:</w:t>
            </w:r>
          </w:p>
          <w:p w14:paraId="7F833721" w14:textId="77777777" w:rsidR="00422901" w:rsidRPr="00D02672" w:rsidRDefault="00422901" w:rsidP="00422901">
            <w:pPr>
              <w:autoSpaceDE w:val="0"/>
              <w:autoSpaceDN w:val="0"/>
              <w:adjustRightInd w:val="0"/>
              <w:spacing w:before="40" w:after="40" w:line="200" w:lineRule="atLeast"/>
              <w:rPr>
                <w:sz w:val="18"/>
                <w:szCs w:val="18"/>
              </w:rPr>
            </w:pPr>
          </w:p>
          <w:p w14:paraId="67E6DB81" w14:textId="77777777" w:rsidR="00422901" w:rsidRPr="00D02672" w:rsidRDefault="00422901" w:rsidP="00422901">
            <w:pPr>
              <w:autoSpaceDE w:val="0"/>
              <w:autoSpaceDN w:val="0"/>
              <w:adjustRightInd w:val="0"/>
              <w:spacing w:before="40" w:after="40" w:line="200" w:lineRule="atLeast"/>
              <w:rPr>
                <w:sz w:val="18"/>
                <w:szCs w:val="18"/>
              </w:rPr>
            </w:pPr>
            <w:r w:rsidRPr="00D02672">
              <w:rPr>
                <w:sz w:val="18"/>
                <w:szCs w:val="18"/>
              </w:rPr>
              <w:t>2.28 describe the use of litmus, phenolphthalein and methyl orange to distinguish between acidic and alkaline solutions</w:t>
            </w:r>
          </w:p>
          <w:p w14:paraId="1E7FE112" w14:textId="77777777" w:rsidR="00422901" w:rsidRPr="00D02672" w:rsidRDefault="00422901" w:rsidP="00422901">
            <w:pPr>
              <w:autoSpaceDE w:val="0"/>
              <w:autoSpaceDN w:val="0"/>
              <w:adjustRightInd w:val="0"/>
              <w:spacing w:before="40" w:after="40" w:line="200" w:lineRule="atLeast"/>
              <w:rPr>
                <w:sz w:val="18"/>
                <w:szCs w:val="18"/>
              </w:rPr>
            </w:pPr>
          </w:p>
          <w:p w14:paraId="2AEA3706" w14:textId="77777777" w:rsidR="00422901" w:rsidRPr="00D02672" w:rsidRDefault="00422901" w:rsidP="00422901">
            <w:pPr>
              <w:autoSpaceDE w:val="0"/>
              <w:autoSpaceDN w:val="0"/>
              <w:adjustRightInd w:val="0"/>
              <w:spacing w:before="40" w:after="40" w:line="200" w:lineRule="atLeast"/>
              <w:rPr>
                <w:sz w:val="18"/>
                <w:szCs w:val="18"/>
              </w:rPr>
            </w:pPr>
            <w:r w:rsidRPr="00D02672">
              <w:rPr>
                <w:sz w:val="18"/>
                <w:szCs w:val="18"/>
              </w:rPr>
              <w:t>2.29 understand how to use the pH scale, from 0–14, can be used to classify solutions as strongly acidic (0–3), weakly acidic (4–6), neutral (7), weakly alkaline (8–10) and strongly alkaline (11–14)</w:t>
            </w:r>
          </w:p>
          <w:p w14:paraId="764D9F98" w14:textId="77777777" w:rsidR="00422901" w:rsidRPr="00D02672" w:rsidRDefault="00422901" w:rsidP="00422901">
            <w:pPr>
              <w:autoSpaceDE w:val="0"/>
              <w:autoSpaceDN w:val="0"/>
              <w:adjustRightInd w:val="0"/>
              <w:spacing w:before="40" w:after="40" w:line="200" w:lineRule="atLeast"/>
              <w:rPr>
                <w:sz w:val="18"/>
                <w:szCs w:val="18"/>
              </w:rPr>
            </w:pPr>
          </w:p>
          <w:p w14:paraId="1AF06FD3" w14:textId="77777777" w:rsidR="00422901" w:rsidRPr="00D02672" w:rsidRDefault="00422901" w:rsidP="00422901">
            <w:pPr>
              <w:autoSpaceDE w:val="0"/>
              <w:autoSpaceDN w:val="0"/>
              <w:adjustRightInd w:val="0"/>
              <w:spacing w:before="40" w:after="40" w:line="200" w:lineRule="atLeast"/>
              <w:rPr>
                <w:sz w:val="18"/>
                <w:szCs w:val="18"/>
              </w:rPr>
            </w:pPr>
            <w:r w:rsidRPr="00D02672">
              <w:rPr>
                <w:sz w:val="18"/>
                <w:szCs w:val="18"/>
              </w:rPr>
              <w:t>2.30 describe the use of universal indicator to measure the approximate pH value of an aqueous solution</w:t>
            </w:r>
          </w:p>
          <w:p w14:paraId="14FEB0D2" w14:textId="77777777" w:rsidR="00422901" w:rsidRPr="00D02672" w:rsidRDefault="00422901" w:rsidP="00422901">
            <w:pPr>
              <w:autoSpaceDE w:val="0"/>
              <w:autoSpaceDN w:val="0"/>
              <w:adjustRightInd w:val="0"/>
              <w:spacing w:before="40" w:after="40" w:line="200" w:lineRule="atLeast"/>
              <w:rPr>
                <w:sz w:val="18"/>
                <w:szCs w:val="18"/>
              </w:rPr>
            </w:pPr>
          </w:p>
          <w:p w14:paraId="3D997EA4" w14:textId="77777777" w:rsidR="004E232E" w:rsidRDefault="00422901" w:rsidP="00422901">
            <w:pPr>
              <w:rPr>
                <w:sz w:val="18"/>
                <w:szCs w:val="18"/>
              </w:rPr>
            </w:pPr>
            <w:r w:rsidRPr="00D02672">
              <w:rPr>
                <w:sz w:val="18"/>
                <w:szCs w:val="18"/>
              </w:rPr>
              <w:t>2.31 know that acids in aqueous solution are a source of hydrogen ions and alkalis in aqueous solution are a source of hydroxide ions.</w:t>
            </w:r>
          </w:p>
          <w:p w14:paraId="449C27F4" w14:textId="77777777" w:rsidR="00422901" w:rsidRDefault="00422901" w:rsidP="00422901">
            <w:pPr>
              <w:rPr>
                <w:sz w:val="18"/>
                <w:szCs w:val="18"/>
              </w:rPr>
            </w:pPr>
          </w:p>
          <w:p w14:paraId="70562660" w14:textId="77777777" w:rsidR="00422901" w:rsidRDefault="00422901" w:rsidP="00422901">
            <w:pPr>
              <w:autoSpaceDE w:val="0"/>
              <w:autoSpaceDN w:val="0"/>
              <w:adjustRightInd w:val="0"/>
              <w:spacing w:before="40" w:after="40" w:line="200" w:lineRule="atLeast"/>
              <w:rPr>
                <w:sz w:val="18"/>
                <w:szCs w:val="18"/>
              </w:rPr>
            </w:pPr>
            <w:r w:rsidRPr="00D02672">
              <w:rPr>
                <w:sz w:val="18"/>
                <w:szCs w:val="18"/>
              </w:rPr>
              <w:t>2.32 know that alkalis</w:t>
            </w:r>
            <w:r w:rsidRPr="00D02672">
              <w:rPr>
                <w:color w:val="00B050"/>
                <w:sz w:val="18"/>
                <w:szCs w:val="18"/>
              </w:rPr>
              <w:t xml:space="preserve"> </w:t>
            </w:r>
            <w:r w:rsidRPr="00D02672">
              <w:rPr>
                <w:sz w:val="18"/>
                <w:szCs w:val="18"/>
              </w:rPr>
              <w:t>can neutralise acids</w:t>
            </w:r>
          </w:p>
          <w:p w14:paraId="340B2610" w14:textId="77777777" w:rsidR="00422901" w:rsidRPr="00D02672" w:rsidRDefault="00422901" w:rsidP="00422901">
            <w:pPr>
              <w:autoSpaceDE w:val="0"/>
              <w:autoSpaceDN w:val="0"/>
              <w:adjustRightInd w:val="0"/>
              <w:spacing w:before="40" w:after="40" w:line="200" w:lineRule="atLeast"/>
              <w:rPr>
                <w:sz w:val="18"/>
                <w:szCs w:val="18"/>
              </w:rPr>
            </w:pPr>
          </w:p>
          <w:p w14:paraId="2CBDA712" w14:textId="2AC010F3" w:rsidR="00422901" w:rsidRPr="007D405D" w:rsidRDefault="00422901" w:rsidP="00422901">
            <w:pPr>
              <w:rPr>
                <w:rFonts w:ascii="Arial" w:hAnsi="Arial" w:cs="Arial"/>
                <w:sz w:val="24"/>
                <w:szCs w:val="24"/>
              </w:rPr>
            </w:pPr>
            <w:r w:rsidRPr="00D02672">
              <w:rPr>
                <w:b/>
                <w:sz w:val="18"/>
                <w:szCs w:val="18"/>
              </w:rPr>
              <w:t>2.33C describe how to carry out an acid-alkali titration.</w:t>
            </w:r>
          </w:p>
        </w:tc>
        <w:tc>
          <w:tcPr>
            <w:tcW w:w="4031" w:type="dxa"/>
          </w:tcPr>
          <w:p w14:paraId="3C250F24" w14:textId="77777777" w:rsidR="005A6232" w:rsidRPr="00EC39E8" w:rsidRDefault="005A6232" w:rsidP="005A6232">
            <w:pPr>
              <w:rPr>
                <w:rFonts w:ascii="Arial" w:hAnsi="Arial" w:cs="Arial"/>
                <w:color w:val="0070C0"/>
                <w:sz w:val="28"/>
                <w:szCs w:val="28"/>
              </w:rPr>
            </w:pPr>
            <w:r w:rsidRPr="00EC39E8">
              <w:rPr>
                <w:rFonts w:ascii="Arial" w:hAnsi="Arial" w:cs="Arial"/>
                <w:color w:val="0070C0"/>
                <w:sz w:val="28"/>
                <w:szCs w:val="28"/>
              </w:rPr>
              <w:t xml:space="preserve">Video:  Section </w:t>
            </w:r>
            <w:r>
              <w:rPr>
                <w:rFonts w:ascii="Arial" w:hAnsi="Arial" w:cs="Arial"/>
                <w:color w:val="0070C0"/>
                <w:sz w:val="28"/>
                <w:szCs w:val="28"/>
              </w:rPr>
              <w:t>4 Lesson 1 – beginning to 5:01, then 16:12 to end (titrations)</w:t>
            </w:r>
          </w:p>
          <w:p w14:paraId="74C2B24A" w14:textId="77777777" w:rsidR="005A6232" w:rsidRPr="00EC39E8" w:rsidRDefault="005A6232" w:rsidP="005A6232">
            <w:pPr>
              <w:rPr>
                <w:rFonts w:ascii="Arial" w:hAnsi="Arial" w:cs="Arial"/>
                <w:sz w:val="28"/>
                <w:szCs w:val="28"/>
              </w:rPr>
            </w:pPr>
          </w:p>
          <w:p w14:paraId="6C3EB565" w14:textId="77777777" w:rsidR="005A6232" w:rsidRPr="00EC39E8" w:rsidRDefault="005A6232" w:rsidP="005A6232">
            <w:pPr>
              <w:rPr>
                <w:rFonts w:ascii="Arial" w:hAnsi="Arial" w:cs="Arial"/>
                <w:color w:val="00FF00"/>
                <w:sz w:val="28"/>
                <w:szCs w:val="28"/>
                <w14:textFill>
                  <w14:solidFill>
                    <w14:srgbClr w14:val="00FF00">
                      <w14:lumMod w14:val="50000"/>
                    </w14:srgbClr>
                  </w14:solidFill>
                </w14:textFill>
              </w:rPr>
            </w:pPr>
            <w:proofErr w:type="spellStart"/>
            <w:r w:rsidRPr="00EC39E8">
              <w:rPr>
                <w:rFonts w:ascii="Arial" w:hAnsi="Arial" w:cs="Arial"/>
                <w:color w:val="00FF00"/>
                <w:sz w:val="28"/>
                <w:szCs w:val="28"/>
                <w14:textFill>
                  <w14:solidFill>
                    <w14:srgbClr w14:val="00FF00">
                      <w14:lumMod w14:val="50000"/>
                    </w14:srgbClr>
                  </w14:solidFill>
                </w14:textFill>
              </w:rPr>
              <w:t>Powerpoint</w:t>
            </w:r>
            <w:proofErr w:type="spellEnd"/>
            <w:r w:rsidRPr="00EC39E8">
              <w:rPr>
                <w:rFonts w:ascii="Arial" w:hAnsi="Arial" w:cs="Arial"/>
                <w:color w:val="00FF00"/>
                <w:sz w:val="28"/>
                <w:szCs w:val="28"/>
                <w14:textFill>
                  <w14:solidFill>
                    <w14:srgbClr w14:val="00FF00">
                      <w14:lumMod w14:val="50000"/>
                    </w14:srgbClr>
                  </w14:solidFill>
                </w14:textFill>
              </w:rPr>
              <w:t>:</w:t>
            </w:r>
            <w:r>
              <w:rPr>
                <w:rFonts w:ascii="Arial" w:hAnsi="Arial" w:cs="Arial"/>
                <w:color w:val="00FF00"/>
                <w:sz w:val="28"/>
                <w:szCs w:val="28"/>
                <w14:textFill>
                  <w14:solidFill>
                    <w14:srgbClr w14:val="00FF00">
                      <w14:lumMod w14:val="50000"/>
                    </w14:srgbClr>
                  </w14:solidFill>
                </w14:textFill>
              </w:rPr>
              <w:t xml:space="preserve"> Section 4 Lesson 1 – from beginning to slide 16, then 52 to end (titrations)</w:t>
            </w:r>
          </w:p>
          <w:p w14:paraId="65ED2F6C" w14:textId="77777777" w:rsidR="00D533B9" w:rsidRPr="007D405D" w:rsidRDefault="00D533B9">
            <w:pPr>
              <w:rPr>
                <w:rFonts w:ascii="Arial" w:hAnsi="Arial" w:cs="Arial"/>
                <w:color w:val="00FF00"/>
                <w:sz w:val="24"/>
                <w:szCs w:val="24"/>
                <w14:textFill>
                  <w14:solidFill>
                    <w14:srgbClr w14:val="00FF00">
                      <w14:lumMod w14:val="50000"/>
                    </w14:srgbClr>
                  </w14:solidFill>
                </w14:textFill>
              </w:rPr>
            </w:pPr>
          </w:p>
          <w:p w14:paraId="7A31DBCD" w14:textId="0FC2A29E" w:rsidR="00D533B9" w:rsidRPr="007D405D" w:rsidRDefault="00D533B9">
            <w:pPr>
              <w:rPr>
                <w:rFonts w:ascii="Arial" w:hAnsi="Arial" w:cs="Arial"/>
                <w:sz w:val="24"/>
                <w:szCs w:val="24"/>
              </w:rPr>
            </w:pPr>
            <w:r w:rsidRPr="007D405D">
              <w:rPr>
                <w:rFonts w:ascii="Arial" w:hAnsi="Arial" w:cs="Arial"/>
                <w:sz w:val="24"/>
                <w:szCs w:val="24"/>
              </w:rPr>
              <w:t>Textbook</w:t>
            </w:r>
            <w:r w:rsidR="00D80095">
              <w:rPr>
                <w:rFonts w:ascii="Arial" w:hAnsi="Arial" w:cs="Arial"/>
                <w:sz w:val="24"/>
                <w:szCs w:val="24"/>
              </w:rPr>
              <w:t xml:space="preserve"> pages:</w:t>
            </w:r>
          </w:p>
          <w:p w14:paraId="2CFC504D" w14:textId="77777777" w:rsidR="00D533B9" w:rsidRDefault="008C3B17" w:rsidP="00844A4C">
            <w:pPr>
              <w:rPr>
                <w:rFonts w:ascii="Arial" w:hAnsi="Arial" w:cs="Arial"/>
                <w:sz w:val="24"/>
                <w:szCs w:val="24"/>
              </w:rPr>
            </w:pPr>
            <w:r>
              <w:rPr>
                <w:rFonts w:ascii="Arial" w:hAnsi="Arial" w:cs="Arial"/>
                <w:sz w:val="24"/>
                <w:szCs w:val="24"/>
              </w:rPr>
              <w:t>Page 167 – pH and indicators</w:t>
            </w:r>
          </w:p>
          <w:p w14:paraId="3A162852" w14:textId="77777777" w:rsidR="008C3B17" w:rsidRDefault="008C3B17" w:rsidP="00844A4C">
            <w:pPr>
              <w:rPr>
                <w:rFonts w:ascii="Arial" w:hAnsi="Arial" w:cs="Arial"/>
                <w:sz w:val="24"/>
                <w:szCs w:val="24"/>
              </w:rPr>
            </w:pPr>
            <w:r>
              <w:rPr>
                <w:rFonts w:ascii="Arial" w:hAnsi="Arial" w:cs="Arial"/>
                <w:sz w:val="24"/>
                <w:szCs w:val="24"/>
              </w:rPr>
              <w:t>Page 168 – Measuring pH</w:t>
            </w:r>
          </w:p>
          <w:p w14:paraId="7A3895C2" w14:textId="102E687A" w:rsidR="008C3B17" w:rsidRDefault="008C3B17" w:rsidP="00844A4C">
            <w:pPr>
              <w:rPr>
                <w:rFonts w:ascii="Arial" w:hAnsi="Arial" w:cs="Arial"/>
                <w:sz w:val="24"/>
                <w:szCs w:val="24"/>
              </w:rPr>
            </w:pPr>
            <w:r>
              <w:rPr>
                <w:rFonts w:ascii="Arial" w:hAnsi="Arial" w:cs="Arial"/>
                <w:sz w:val="24"/>
                <w:szCs w:val="24"/>
              </w:rPr>
              <w:t>Page 169 – Acids</w:t>
            </w:r>
          </w:p>
          <w:p w14:paraId="5F6AD8A0" w14:textId="223D86F5" w:rsidR="008C3B17" w:rsidRDefault="008C3B17" w:rsidP="00844A4C">
            <w:pPr>
              <w:rPr>
                <w:rFonts w:ascii="Arial" w:hAnsi="Arial" w:cs="Arial"/>
                <w:sz w:val="24"/>
                <w:szCs w:val="24"/>
              </w:rPr>
            </w:pPr>
            <w:r>
              <w:rPr>
                <w:rFonts w:ascii="Arial" w:hAnsi="Arial" w:cs="Arial"/>
                <w:sz w:val="24"/>
                <w:szCs w:val="24"/>
              </w:rPr>
              <w:t>Page 169 – Bases</w:t>
            </w:r>
          </w:p>
          <w:p w14:paraId="3523F9C4" w14:textId="77777777" w:rsidR="008C3B17" w:rsidRDefault="008C3B17" w:rsidP="00844A4C">
            <w:pPr>
              <w:rPr>
                <w:rFonts w:ascii="Arial" w:hAnsi="Arial" w:cs="Arial"/>
                <w:sz w:val="24"/>
                <w:szCs w:val="24"/>
              </w:rPr>
            </w:pPr>
            <w:r>
              <w:rPr>
                <w:rFonts w:ascii="Arial" w:hAnsi="Arial" w:cs="Arial"/>
                <w:sz w:val="24"/>
                <w:szCs w:val="24"/>
              </w:rPr>
              <w:t>Page 169 – Other alkaline solutions</w:t>
            </w:r>
          </w:p>
          <w:p w14:paraId="2A600235" w14:textId="77777777" w:rsidR="008C3B17" w:rsidRDefault="008C3B17" w:rsidP="00844A4C">
            <w:pPr>
              <w:rPr>
                <w:rFonts w:ascii="Arial" w:hAnsi="Arial" w:cs="Arial"/>
                <w:sz w:val="24"/>
                <w:szCs w:val="24"/>
              </w:rPr>
            </w:pPr>
            <w:r>
              <w:rPr>
                <w:rFonts w:ascii="Arial" w:hAnsi="Arial" w:cs="Arial"/>
                <w:sz w:val="24"/>
                <w:szCs w:val="24"/>
              </w:rPr>
              <w:t>Page 170 – Reacting acids with bases and alkalis</w:t>
            </w:r>
          </w:p>
          <w:p w14:paraId="27A8146D" w14:textId="764B9DA3" w:rsidR="008C3B17" w:rsidRDefault="008C3B17" w:rsidP="00844A4C">
            <w:pPr>
              <w:rPr>
                <w:rFonts w:ascii="Arial" w:hAnsi="Arial" w:cs="Arial"/>
                <w:sz w:val="24"/>
                <w:szCs w:val="24"/>
              </w:rPr>
            </w:pPr>
            <w:r>
              <w:rPr>
                <w:rFonts w:ascii="Arial" w:hAnsi="Arial" w:cs="Arial"/>
                <w:sz w:val="24"/>
                <w:szCs w:val="24"/>
              </w:rPr>
              <w:t>Page 170 – Titration</w:t>
            </w:r>
          </w:p>
          <w:p w14:paraId="57A49613" w14:textId="4EA85209" w:rsidR="008C3B17" w:rsidRPr="001762B8" w:rsidRDefault="008C3B17" w:rsidP="00844A4C">
            <w:pPr>
              <w:rPr>
                <w:rFonts w:ascii="Arial" w:hAnsi="Arial" w:cs="Arial"/>
                <w:sz w:val="24"/>
                <w:szCs w:val="24"/>
              </w:rPr>
            </w:pPr>
          </w:p>
        </w:tc>
        <w:tc>
          <w:tcPr>
            <w:tcW w:w="4725" w:type="dxa"/>
            <w:gridSpan w:val="2"/>
          </w:tcPr>
          <w:p w14:paraId="601E2B0C" w14:textId="4DEB6A6E" w:rsidR="00D533B9" w:rsidRDefault="00D533B9">
            <w:pPr>
              <w:rPr>
                <w:rFonts w:ascii="Arial" w:hAnsi="Arial" w:cs="Arial"/>
                <w:sz w:val="32"/>
                <w:szCs w:val="32"/>
              </w:rPr>
            </w:pPr>
            <w:r>
              <w:rPr>
                <w:rFonts w:ascii="Arial" w:hAnsi="Arial" w:cs="Arial"/>
                <w:sz w:val="32"/>
                <w:szCs w:val="32"/>
              </w:rPr>
              <w:t xml:space="preserve">Page </w:t>
            </w:r>
            <w:proofErr w:type="gramStart"/>
            <w:r w:rsidR="008C3B17">
              <w:rPr>
                <w:rFonts w:ascii="Arial" w:hAnsi="Arial" w:cs="Arial"/>
                <w:sz w:val="32"/>
                <w:szCs w:val="32"/>
              </w:rPr>
              <w:t>172  Qs</w:t>
            </w:r>
            <w:proofErr w:type="gramEnd"/>
            <w:r w:rsidR="008C3B17">
              <w:rPr>
                <w:rFonts w:ascii="Arial" w:hAnsi="Arial" w:cs="Arial"/>
                <w:sz w:val="32"/>
                <w:szCs w:val="32"/>
              </w:rPr>
              <w:t xml:space="preserve"> (1) to (5)</w:t>
            </w:r>
          </w:p>
          <w:p w14:paraId="00664487" w14:textId="77777777" w:rsidR="00D533B9" w:rsidRDefault="00D533B9">
            <w:pPr>
              <w:rPr>
                <w:rFonts w:ascii="Arial" w:hAnsi="Arial" w:cs="Arial"/>
                <w:sz w:val="32"/>
                <w:szCs w:val="32"/>
              </w:rPr>
            </w:pPr>
          </w:p>
          <w:p w14:paraId="6E5FA85C" w14:textId="3F72CB18" w:rsidR="00D533B9" w:rsidRPr="00DC6CB7" w:rsidRDefault="00F757AE">
            <w:pPr>
              <w:rPr>
                <w:rFonts w:ascii="Arial" w:hAnsi="Arial" w:cs="Arial"/>
                <w:color w:val="000000" w:themeColor="text1"/>
                <w:sz w:val="32"/>
                <w:szCs w:val="32"/>
              </w:rPr>
            </w:pPr>
            <w:r>
              <w:rPr>
                <w:rFonts w:ascii="Arial" w:hAnsi="Arial" w:cs="Arial"/>
                <w:color w:val="000000" w:themeColor="text1"/>
                <w:sz w:val="32"/>
                <w:szCs w:val="32"/>
              </w:rPr>
              <w:t>Chapter 16 Answers to textbook questions</w:t>
            </w:r>
          </w:p>
          <w:p w14:paraId="66CACFE6" w14:textId="77777777" w:rsidR="00D533B9" w:rsidRDefault="00D533B9">
            <w:pPr>
              <w:rPr>
                <w:rFonts w:ascii="Arial" w:hAnsi="Arial" w:cs="Arial"/>
                <w:color w:val="FF0000"/>
                <w:sz w:val="32"/>
                <w:szCs w:val="32"/>
              </w:rPr>
            </w:pPr>
          </w:p>
          <w:p w14:paraId="0D96AA29" w14:textId="0F660F64" w:rsidR="00D533B9" w:rsidRPr="002D0942" w:rsidRDefault="00F757AE">
            <w:pPr>
              <w:rPr>
                <w:rFonts w:ascii="Arial" w:hAnsi="Arial" w:cs="Arial"/>
                <w:sz w:val="32"/>
                <w:szCs w:val="32"/>
              </w:rPr>
            </w:pPr>
            <w:r>
              <w:rPr>
                <w:rFonts w:ascii="Arial" w:hAnsi="Arial" w:cs="Arial"/>
                <w:sz w:val="32"/>
                <w:szCs w:val="32"/>
              </w:rPr>
              <w:t>Unit 2 – 16 Acids, Alkalis and Titrations</w:t>
            </w:r>
            <w:r w:rsidR="00D533B9" w:rsidRPr="002D0942">
              <w:rPr>
                <w:rFonts w:ascii="Arial" w:hAnsi="Arial" w:cs="Arial"/>
                <w:sz w:val="32"/>
                <w:szCs w:val="32"/>
              </w:rPr>
              <w:t xml:space="preserve"> exam question - pdf</w:t>
            </w:r>
          </w:p>
          <w:p w14:paraId="680AA72E" w14:textId="77777777" w:rsidR="00D533B9" w:rsidRDefault="00D533B9" w:rsidP="00AF1D5A">
            <w:pPr>
              <w:rPr>
                <w:rFonts w:ascii="Arial" w:hAnsi="Arial" w:cs="Arial"/>
                <w:sz w:val="32"/>
                <w:szCs w:val="32"/>
              </w:rPr>
            </w:pPr>
          </w:p>
          <w:p w14:paraId="7BBC8A11" w14:textId="7A58E2D1" w:rsidR="00D533B9" w:rsidRDefault="00F757AE" w:rsidP="00AF1D5A">
            <w:pPr>
              <w:rPr>
                <w:rFonts w:ascii="Arial" w:hAnsi="Arial" w:cs="Arial"/>
                <w:sz w:val="32"/>
                <w:szCs w:val="32"/>
              </w:rPr>
            </w:pPr>
            <w:r>
              <w:rPr>
                <w:rFonts w:ascii="Arial" w:hAnsi="Arial" w:cs="Arial"/>
                <w:sz w:val="32"/>
                <w:szCs w:val="32"/>
              </w:rPr>
              <w:t>Unit 2 – 16 Acids, Alkalis and Titrations</w:t>
            </w:r>
            <w:r w:rsidR="00D533B9">
              <w:rPr>
                <w:rFonts w:ascii="Arial" w:hAnsi="Arial" w:cs="Arial"/>
                <w:sz w:val="32"/>
                <w:szCs w:val="32"/>
              </w:rPr>
              <w:t xml:space="preserve"> exam question mark scheme – pdf</w:t>
            </w:r>
          </w:p>
          <w:p w14:paraId="0B099FC5" w14:textId="77777777" w:rsidR="00D533B9" w:rsidRDefault="00D533B9" w:rsidP="00AF1D5A">
            <w:pPr>
              <w:rPr>
                <w:rFonts w:ascii="Arial" w:hAnsi="Arial" w:cs="Arial"/>
                <w:sz w:val="32"/>
                <w:szCs w:val="32"/>
              </w:rPr>
            </w:pPr>
          </w:p>
          <w:p w14:paraId="0B430A22" w14:textId="5C373182" w:rsidR="00D533B9" w:rsidRDefault="00F757AE" w:rsidP="00841EC9">
            <w:pPr>
              <w:rPr>
                <w:rFonts w:ascii="Arial" w:hAnsi="Arial" w:cs="Arial"/>
                <w:sz w:val="32"/>
                <w:szCs w:val="32"/>
              </w:rPr>
            </w:pPr>
            <w:r>
              <w:rPr>
                <w:rFonts w:ascii="Arial" w:hAnsi="Arial" w:cs="Arial"/>
                <w:sz w:val="32"/>
                <w:szCs w:val="32"/>
              </w:rPr>
              <w:t>Section B</w:t>
            </w:r>
            <w:proofErr w:type="gramStart"/>
            <w:r>
              <w:rPr>
                <w:rFonts w:ascii="Arial" w:hAnsi="Arial" w:cs="Arial"/>
                <w:sz w:val="32"/>
                <w:szCs w:val="32"/>
              </w:rPr>
              <w:t>9</w:t>
            </w:r>
            <w:r w:rsidR="00D533B9">
              <w:rPr>
                <w:rFonts w:ascii="Arial" w:hAnsi="Arial" w:cs="Arial"/>
                <w:sz w:val="32"/>
                <w:szCs w:val="32"/>
              </w:rPr>
              <w:t xml:space="preserve"> </w:t>
            </w:r>
            <w:r w:rsidR="00C1351D">
              <w:rPr>
                <w:rFonts w:ascii="Arial" w:hAnsi="Arial" w:cs="Arial"/>
                <w:sz w:val="32"/>
                <w:szCs w:val="32"/>
              </w:rPr>
              <w:t xml:space="preserve"> </w:t>
            </w:r>
            <w:r w:rsidR="00D533B9">
              <w:rPr>
                <w:rFonts w:ascii="Arial" w:hAnsi="Arial" w:cs="Arial"/>
                <w:sz w:val="32"/>
                <w:szCs w:val="32"/>
              </w:rPr>
              <w:t>-</w:t>
            </w:r>
            <w:proofErr w:type="gramEnd"/>
            <w:r w:rsidR="00D533B9">
              <w:rPr>
                <w:rFonts w:ascii="Arial" w:hAnsi="Arial" w:cs="Arial"/>
                <w:sz w:val="32"/>
                <w:szCs w:val="32"/>
              </w:rPr>
              <w:t xml:space="preserve"> Talking paper video </w:t>
            </w:r>
          </w:p>
          <w:p w14:paraId="25E86B5B" w14:textId="77777777" w:rsidR="004E232E" w:rsidRDefault="004E232E" w:rsidP="00841EC9">
            <w:pPr>
              <w:rPr>
                <w:rFonts w:ascii="Arial" w:hAnsi="Arial" w:cs="Arial"/>
                <w:sz w:val="32"/>
                <w:szCs w:val="32"/>
              </w:rPr>
            </w:pPr>
          </w:p>
        </w:tc>
      </w:tr>
    </w:tbl>
    <w:p w14:paraId="5625D3A3" w14:textId="76245AEF" w:rsidR="00844A4C" w:rsidRDefault="00844A4C">
      <w:pPr>
        <w:rPr>
          <w:rFonts w:ascii="Arial" w:hAnsi="Arial" w:cs="Arial"/>
          <w:color w:val="0070C0"/>
          <w:sz w:val="32"/>
          <w:szCs w:val="32"/>
        </w:rPr>
      </w:pPr>
    </w:p>
    <w:p w14:paraId="244AF1DB" w14:textId="62A67606" w:rsidR="00C1351D" w:rsidRDefault="00DC6CB7">
      <w:pPr>
        <w:rPr>
          <w:rFonts w:ascii="Arial" w:hAnsi="Arial" w:cs="Arial"/>
          <w:sz w:val="32"/>
          <w:szCs w:val="32"/>
        </w:rPr>
      </w:pPr>
      <w:r>
        <w:rPr>
          <w:rFonts w:ascii="Arial" w:hAnsi="Arial" w:cs="Arial"/>
          <w:color w:val="0070C0"/>
          <w:sz w:val="32"/>
          <w:szCs w:val="32"/>
        </w:rPr>
        <w:t xml:space="preserve">Videos – </w:t>
      </w:r>
      <w:hyperlink r:id="rId5" w:history="1">
        <w:r w:rsidR="00C1351D" w:rsidRPr="00F23211">
          <w:rPr>
            <w:rStyle w:val="Hyperlink"/>
            <w:rFonts w:ascii="Arial" w:hAnsi="Arial" w:cs="Arial"/>
            <w:sz w:val="32"/>
            <w:szCs w:val="32"/>
          </w:rPr>
          <w:t>www.igcsesciencecourses.com</w:t>
        </w:r>
      </w:hyperlink>
    </w:p>
    <w:p w14:paraId="410A8199" w14:textId="754B6397" w:rsidR="00AF1D5A" w:rsidRPr="00C1351D" w:rsidRDefault="00AF1D5A">
      <w:pPr>
        <w:rPr>
          <w:rFonts w:ascii="Arial" w:hAnsi="Arial" w:cs="Arial"/>
          <w:sz w:val="32"/>
          <w:szCs w:val="32"/>
        </w:rPr>
      </w:pPr>
      <w:r w:rsidRPr="00841EC9">
        <w:rPr>
          <w:rFonts w:ascii="Arial" w:hAnsi="Arial" w:cs="Arial"/>
          <w:sz w:val="28"/>
          <w:szCs w:val="28"/>
        </w:rPr>
        <w:lastRenderedPageBreak/>
        <w:t>Textbook Ref:  Ed</w:t>
      </w:r>
      <w:r w:rsidR="00D6210C" w:rsidRPr="00841EC9">
        <w:rPr>
          <w:rFonts w:ascii="Arial" w:hAnsi="Arial" w:cs="Arial"/>
          <w:sz w:val="28"/>
          <w:szCs w:val="28"/>
        </w:rPr>
        <w:t xml:space="preserve">excel International GCSE </w:t>
      </w:r>
      <w:r w:rsidR="00841EC9" w:rsidRPr="00841EC9">
        <w:rPr>
          <w:rFonts w:ascii="Arial" w:hAnsi="Arial" w:cs="Arial"/>
          <w:sz w:val="28"/>
          <w:szCs w:val="28"/>
        </w:rPr>
        <w:t xml:space="preserve">(9-1) </w:t>
      </w:r>
      <w:r w:rsidR="007F5D5A">
        <w:rPr>
          <w:rFonts w:ascii="Arial" w:hAnsi="Arial" w:cs="Arial"/>
          <w:sz w:val="28"/>
          <w:szCs w:val="28"/>
        </w:rPr>
        <w:t>Chemistry</w:t>
      </w:r>
      <w:r w:rsidRPr="00841EC9">
        <w:rPr>
          <w:rFonts w:ascii="Arial" w:hAnsi="Arial" w:cs="Arial"/>
          <w:sz w:val="28"/>
          <w:szCs w:val="28"/>
        </w:rPr>
        <w:t xml:space="preserve"> Student Book - Pearson </w:t>
      </w:r>
      <w:r w:rsidR="007F5D5A">
        <w:rPr>
          <w:rFonts w:ascii="Arial" w:hAnsi="Arial" w:cs="Arial"/>
          <w:sz w:val="28"/>
          <w:szCs w:val="28"/>
        </w:rPr>
        <w:t>(Clark, Owen and Yu</w:t>
      </w:r>
      <w:r w:rsidR="00D6210C" w:rsidRPr="00841EC9">
        <w:rPr>
          <w:rFonts w:ascii="Arial" w:hAnsi="Arial" w:cs="Arial"/>
          <w:sz w:val="28"/>
          <w:szCs w:val="28"/>
        </w:rPr>
        <w:t>)</w:t>
      </w:r>
    </w:p>
    <w:p w14:paraId="4B1AB25B" w14:textId="77777777" w:rsidR="00E976BB" w:rsidRPr="00E976BB" w:rsidRDefault="00E976BB">
      <w:pPr>
        <w:rPr>
          <w:rFonts w:ascii="Arial" w:hAnsi="Arial" w:cs="Arial"/>
          <w:color w:val="0070C0"/>
          <w:sz w:val="32"/>
          <w:szCs w:val="32"/>
        </w:rPr>
      </w:pPr>
    </w:p>
    <w:sectPr w:rsidR="00E976BB" w:rsidRPr="00E976BB" w:rsidSect="00DC6CB7">
      <w:pgSz w:w="16838" w:h="11906" w:orient="landscape"/>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6464C"/>
    <w:multiLevelType w:val="hybridMultilevel"/>
    <w:tmpl w:val="045A5438"/>
    <w:lvl w:ilvl="0" w:tplc="F75E6336">
      <w:start w:val="1"/>
      <w:numFmt w:val="bullet"/>
      <w:pStyle w:val="Tabletextbullets"/>
      <w:lvlText w:val="●"/>
      <w:lvlJc w:val="left"/>
      <w:pPr>
        <w:tabs>
          <w:tab w:val="num" w:pos="397"/>
        </w:tabs>
        <w:ind w:left="397" w:hanging="397"/>
      </w:pPr>
      <w:rPr>
        <w:rFonts w:ascii="Arial" w:hAnsi="Arial" w:hint="default"/>
      </w:rPr>
    </w:lvl>
    <w:lvl w:ilvl="1" w:tplc="A82C2762" w:tentative="1">
      <w:start w:val="1"/>
      <w:numFmt w:val="bullet"/>
      <w:lvlText w:val="o"/>
      <w:lvlJc w:val="left"/>
      <w:pPr>
        <w:tabs>
          <w:tab w:val="num" w:pos="1440"/>
        </w:tabs>
        <w:ind w:left="1440" w:hanging="360"/>
      </w:pPr>
      <w:rPr>
        <w:rFonts w:ascii="Courier New" w:hAnsi="Courier New" w:cs="Calibri" w:hint="default"/>
      </w:rPr>
    </w:lvl>
    <w:lvl w:ilvl="2" w:tplc="2C9A64F6" w:tentative="1">
      <w:start w:val="1"/>
      <w:numFmt w:val="bullet"/>
      <w:lvlText w:val=""/>
      <w:lvlJc w:val="left"/>
      <w:pPr>
        <w:tabs>
          <w:tab w:val="num" w:pos="2160"/>
        </w:tabs>
        <w:ind w:left="2160" w:hanging="360"/>
      </w:pPr>
      <w:rPr>
        <w:rFonts w:ascii="Wingdings" w:hAnsi="Wingdings" w:hint="default"/>
      </w:rPr>
    </w:lvl>
    <w:lvl w:ilvl="3" w:tplc="986CCD22" w:tentative="1">
      <w:start w:val="1"/>
      <w:numFmt w:val="bullet"/>
      <w:lvlText w:val=""/>
      <w:lvlJc w:val="left"/>
      <w:pPr>
        <w:tabs>
          <w:tab w:val="num" w:pos="2880"/>
        </w:tabs>
        <w:ind w:left="2880" w:hanging="360"/>
      </w:pPr>
      <w:rPr>
        <w:rFonts w:ascii="Symbol" w:hAnsi="Symbol" w:hint="default"/>
      </w:rPr>
    </w:lvl>
    <w:lvl w:ilvl="4" w:tplc="36C23A8C" w:tentative="1">
      <w:start w:val="1"/>
      <w:numFmt w:val="bullet"/>
      <w:lvlText w:val="o"/>
      <w:lvlJc w:val="left"/>
      <w:pPr>
        <w:tabs>
          <w:tab w:val="num" w:pos="3600"/>
        </w:tabs>
        <w:ind w:left="3600" w:hanging="360"/>
      </w:pPr>
      <w:rPr>
        <w:rFonts w:ascii="Courier New" w:hAnsi="Courier New" w:cs="Calibri" w:hint="default"/>
      </w:rPr>
    </w:lvl>
    <w:lvl w:ilvl="5" w:tplc="A072AF92" w:tentative="1">
      <w:start w:val="1"/>
      <w:numFmt w:val="bullet"/>
      <w:lvlText w:val=""/>
      <w:lvlJc w:val="left"/>
      <w:pPr>
        <w:tabs>
          <w:tab w:val="num" w:pos="4320"/>
        </w:tabs>
        <w:ind w:left="4320" w:hanging="360"/>
      </w:pPr>
      <w:rPr>
        <w:rFonts w:ascii="Wingdings" w:hAnsi="Wingdings" w:hint="default"/>
      </w:rPr>
    </w:lvl>
    <w:lvl w:ilvl="6" w:tplc="0F8E0892" w:tentative="1">
      <w:start w:val="1"/>
      <w:numFmt w:val="bullet"/>
      <w:lvlText w:val=""/>
      <w:lvlJc w:val="left"/>
      <w:pPr>
        <w:tabs>
          <w:tab w:val="num" w:pos="5040"/>
        </w:tabs>
        <w:ind w:left="5040" w:hanging="360"/>
      </w:pPr>
      <w:rPr>
        <w:rFonts w:ascii="Symbol" w:hAnsi="Symbol" w:hint="default"/>
      </w:rPr>
    </w:lvl>
    <w:lvl w:ilvl="7" w:tplc="0CFA46FA" w:tentative="1">
      <w:start w:val="1"/>
      <w:numFmt w:val="bullet"/>
      <w:lvlText w:val="o"/>
      <w:lvlJc w:val="left"/>
      <w:pPr>
        <w:tabs>
          <w:tab w:val="num" w:pos="5760"/>
        </w:tabs>
        <w:ind w:left="5760" w:hanging="360"/>
      </w:pPr>
      <w:rPr>
        <w:rFonts w:ascii="Courier New" w:hAnsi="Courier New" w:cs="Calibri" w:hint="default"/>
      </w:rPr>
    </w:lvl>
    <w:lvl w:ilvl="8" w:tplc="3FAE6BF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8C"/>
    <w:rsid w:val="0001476E"/>
    <w:rsid w:val="000320C8"/>
    <w:rsid w:val="000979BE"/>
    <w:rsid w:val="000E1199"/>
    <w:rsid w:val="00161C2A"/>
    <w:rsid w:val="001762B8"/>
    <w:rsid w:val="00197EF3"/>
    <w:rsid w:val="001D213C"/>
    <w:rsid w:val="001D435D"/>
    <w:rsid w:val="001D607F"/>
    <w:rsid w:val="00255DD1"/>
    <w:rsid w:val="002A66A9"/>
    <w:rsid w:val="002D0942"/>
    <w:rsid w:val="002E58C7"/>
    <w:rsid w:val="002F23A0"/>
    <w:rsid w:val="003001C9"/>
    <w:rsid w:val="00302238"/>
    <w:rsid w:val="003635BE"/>
    <w:rsid w:val="003C521F"/>
    <w:rsid w:val="003E2012"/>
    <w:rsid w:val="00422901"/>
    <w:rsid w:val="00424877"/>
    <w:rsid w:val="00443C22"/>
    <w:rsid w:val="00457A9D"/>
    <w:rsid w:val="0049315F"/>
    <w:rsid w:val="004E232E"/>
    <w:rsid w:val="004E53D5"/>
    <w:rsid w:val="005829B8"/>
    <w:rsid w:val="005A0C78"/>
    <w:rsid w:val="005A6232"/>
    <w:rsid w:val="005E1BCE"/>
    <w:rsid w:val="005F3331"/>
    <w:rsid w:val="006207BB"/>
    <w:rsid w:val="00651935"/>
    <w:rsid w:val="00665071"/>
    <w:rsid w:val="00691023"/>
    <w:rsid w:val="006E2745"/>
    <w:rsid w:val="007203A9"/>
    <w:rsid w:val="007A1C7B"/>
    <w:rsid w:val="007D108C"/>
    <w:rsid w:val="007D405D"/>
    <w:rsid w:val="007F5D5A"/>
    <w:rsid w:val="00841EC9"/>
    <w:rsid w:val="00844A4C"/>
    <w:rsid w:val="008C3B17"/>
    <w:rsid w:val="008E67D6"/>
    <w:rsid w:val="009713DB"/>
    <w:rsid w:val="009A342D"/>
    <w:rsid w:val="00A80940"/>
    <w:rsid w:val="00AA2678"/>
    <w:rsid w:val="00AC7132"/>
    <w:rsid w:val="00AF1D5A"/>
    <w:rsid w:val="00C1351D"/>
    <w:rsid w:val="00CE4F34"/>
    <w:rsid w:val="00D533B9"/>
    <w:rsid w:val="00D6210C"/>
    <w:rsid w:val="00D80095"/>
    <w:rsid w:val="00DA6144"/>
    <w:rsid w:val="00DC6CB7"/>
    <w:rsid w:val="00E31F9B"/>
    <w:rsid w:val="00E976BB"/>
    <w:rsid w:val="00F0626D"/>
    <w:rsid w:val="00F222A3"/>
    <w:rsid w:val="00F757AE"/>
    <w:rsid w:val="00FB70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F1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ullets">
    <w:name w:val="Table text bullets"/>
    <w:link w:val="TabletextbulletsChar"/>
    <w:qFormat/>
    <w:rsid w:val="002F23A0"/>
    <w:pPr>
      <w:numPr>
        <w:numId w:val="1"/>
      </w:numPr>
      <w:spacing w:before="80" w:after="60" w:line="240" w:lineRule="atLeast"/>
    </w:pPr>
    <w:rPr>
      <w:rFonts w:ascii="Verdana" w:eastAsia="Times New Roman" w:hAnsi="Verdana" w:cs="Arial"/>
      <w:sz w:val="20"/>
      <w:szCs w:val="24"/>
    </w:rPr>
  </w:style>
  <w:style w:type="character" w:customStyle="1" w:styleId="TabletextbulletsChar">
    <w:name w:val="Table text bullets Char"/>
    <w:link w:val="Tabletextbullets"/>
    <w:rsid w:val="002F23A0"/>
    <w:rPr>
      <w:rFonts w:ascii="Verdana" w:eastAsia="Times New Roman" w:hAnsi="Verdana" w:cs="Arial"/>
      <w:sz w:val="20"/>
      <w:szCs w:val="24"/>
    </w:rPr>
  </w:style>
  <w:style w:type="paragraph" w:customStyle="1" w:styleId="U-text-i">
    <w:name w:val="U-text-i"/>
    <w:basedOn w:val="Normal"/>
    <w:rsid w:val="002F23A0"/>
    <w:pPr>
      <w:spacing w:before="40" w:after="40" w:line="200" w:lineRule="atLeast"/>
    </w:pPr>
    <w:rPr>
      <w:rFonts w:ascii="Arial" w:eastAsia="Times New Roman" w:hAnsi="Arial" w:cs="Arial"/>
      <w:sz w:val="18"/>
      <w:szCs w:val="18"/>
    </w:rPr>
  </w:style>
  <w:style w:type="character" w:styleId="Hyperlink">
    <w:name w:val="Hyperlink"/>
    <w:basedOn w:val="DefaultParagraphFont"/>
    <w:uiPriority w:val="99"/>
    <w:unhideWhenUsed/>
    <w:rsid w:val="00C1351D"/>
    <w:rPr>
      <w:color w:val="0000FF" w:themeColor="hyperlink"/>
      <w:u w:val="single"/>
    </w:rPr>
  </w:style>
  <w:style w:type="paragraph" w:customStyle="1" w:styleId="Text">
    <w:name w:val="Text"/>
    <w:basedOn w:val="Normal"/>
    <w:rsid w:val="00422901"/>
    <w:pPr>
      <w:spacing w:before="40" w:after="40" w:line="200" w:lineRule="atLeast"/>
    </w:pPr>
    <w:rPr>
      <w:rFonts w:ascii="Trebuchet MS" w:eastAsia="Times New Roman" w:hAnsi="Trebuchet MS"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gcsesciencecours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269</Words>
  <Characters>1539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Graham Bray</cp:lastModifiedBy>
  <cp:revision>6</cp:revision>
  <cp:lastPrinted>2015-04-03T13:02:00Z</cp:lastPrinted>
  <dcterms:created xsi:type="dcterms:W3CDTF">2017-08-02T17:16:00Z</dcterms:created>
  <dcterms:modified xsi:type="dcterms:W3CDTF">2017-11-21T14:33:00Z</dcterms:modified>
</cp:coreProperties>
</file>