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77813A2F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2012">
              <w:rPr>
                <w:rFonts w:ascii="Arial" w:hAnsi="Arial" w:cs="Arial"/>
                <w:b/>
                <w:sz w:val="32"/>
                <w:szCs w:val="32"/>
              </w:rPr>
              <w:t>2. Inorganic Chemistry</w:t>
            </w:r>
          </w:p>
        </w:tc>
        <w:tc>
          <w:tcPr>
            <w:tcW w:w="6570" w:type="dxa"/>
            <w:gridSpan w:val="2"/>
          </w:tcPr>
          <w:p w14:paraId="511AE30F" w14:textId="57FB2430" w:rsidR="00841EC9" w:rsidRPr="007D108C" w:rsidRDefault="00841EC9" w:rsidP="003001C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F222A3">
              <w:rPr>
                <w:rFonts w:ascii="Arial" w:hAnsi="Arial" w:cs="Arial"/>
                <w:b/>
                <w:sz w:val="32"/>
                <w:szCs w:val="32"/>
              </w:rPr>
              <w:t>11. The Alkali Metals</w:t>
            </w:r>
          </w:p>
        </w:tc>
        <w:tc>
          <w:tcPr>
            <w:tcW w:w="2186" w:type="dxa"/>
          </w:tcPr>
          <w:p w14:paraId="0F858474" w14:textId="56309458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E6389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2FB191F" w14:textId="77777777" w:rsidR="004A6884" w:rsidRPr="00D02672" w:rsidRDefault="004A6884" w:rsidP="004A6884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2: Inorganic chemistry</w:t>
            </w:r>
          </w:p>
          <w:p w14:paraId="417205B2" w14:textId="35FF9321" w:rsidR="004E232E" w:rsidRDefault="004A6884" w:rsidP="004A688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(a) Group 1 (alkali metals)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482A6C34" w14:textId="77777777" w:rsidR="007F0688" w:rsidRPr="00D02672" w:rsidRDefault="007F0688" w:rsidP="007F0688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2.1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understand how</w:t>
            </w:r>
            <w:r w:rsidRPr="00D02672">
              <w:rPr>
                <w:rFonts w:eastAsia="Verdana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th</w:t>
            </w:r>
            <w:r w:rsidRPr="00D02672">
              <w:rPr>
                <w:rFonts w:eastAsia="Verdana"/>
                <w:sz w:val="18"/>
                <w:szCs w:val="18"/>
              </w:rPr>
              <w:t xml:space="preserve">e similarities in the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reaction</w:t>
            </w:r>
            <w:r w:rsidRPr="00D02672">
              <w:rPr>
                <w:rFonts w:eastAsia="Verdana"/>
                <w:sz w:val="18"/>
                <w:szCs w:val="18"/>
              </w:rPr>
              <w:t xml:space="preserve">s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sz w:val="18"/>
                <w:szCs w:val="18"/>
              </w:rPr>
              <w:t xml:space="preserve">f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D02672">
              <w:rPr>
                <w:rFonts w:eastAsia="Verdana"/>
                <w:sz w:val="18"/>
                <w:szCs w:val="18"/>
              </w:rPr>
              <w:t>h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es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ement</w:t>
            </w:r>
            <w:r w:rsidRPr="00D02672">
              <w:rPr>
                <w:rFonts w:eastAsia="Verdana"/>
                <w:sz w:val="18"/>
                <w:szCs w:val="18"/>
              </w:rPr>
              <w:t>s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w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D02672">
              <w:rPr>
                <w:rFonts w:eastAsia="Verdana"/>
                <w:sz w:val="18"/>
                <w:szCs w:val="18"/>
              </w:rPr>
              <w:t>h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wate</w:t>
            </w:r>
            <w:r w:rsidRPr="00D02672">
              <w:rPr>
                <w:rFonts w:eastAsia="Verdana"/>
                <w:sz w:val="18"/>
                <w:szCs w:val="18"/>
              </w:rPr>
              <w:t xml:space="preserve">r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provid</w:t>
            </w:r>
            <w:r w:rsidRPr="00D02672">
              <w:rPr>
                <w:rFonts w:eastAsia="Verdana"/>
                <w:sz w:val="18"/>
                <w:szCs w:val="18"/>
              </w:rPr>
              <w:t xml:space="preserve">e evidence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fo</w:t>
            </w:r>
            <w:r w:rsidRPr="00D02672">
              <w:rPr>
                <w:rFonts w:eastAsia="Verdana"/>
                <w:sz w:val="18"/>
                <w:szCs w:val="18"/>
              </w:rPr>
              <w:t xml:space="preserve">r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thei</w:t>
            </w:r>
            <w:r w:rsidRPr="00D02672">
              <w:rPr>
                <w:rFonts w:eastAsia="Verdana"/>
                <w:sz w:val="18"/>
                <w:szCs w:val="18"/>
              </w:rPr>
              <w:t xml:space="preserve">r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r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e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cog</w:t>
            </w:r>
            <w:r w:rsidRPr="00D02672">
              <w:rPr>
                <w:rFonts w:eastAsia="Verdana"/>
                <w:sz w:val="18"/>
                <w:szCs w:val="18"/>
              </w:rPr>
              <w:t>n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i</w:t>
            </w:r>
            <w:r w:rsidRPr="00D02672">
              <w:rPr>
                <w:rFonts w:eastAsia="Verdana"/>
                <w:sz w:val="18"/>
                <w:szCs w:val="18"/>
              </w:rPr>
              <w:t>t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io</w:t>
            </w:r>
            <w:r w:rsidRPr="00D02672">
              <w:rPr>
                <w:rFonts w:eastAsia="Verdana"/>
                <w:sz w:val="18"/>
                <w:szCs w:val="18"/>
              </w:rPr>
              <w:t xml:space="preserve">n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</w:t>
            </w:r>
            <w:r w:rsidRPr="00D02672">
              <w:rPr>
                <w:rFonts w:eastAsia="Verdana"/>
                <w:sz w:val="18"/>
                <w:szCs w:val="18"/>
              </w:rPr>
              <w:t>s a f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amil</w:t>
            </w:r>
            <w:r w:rsidRPr="00D02672">
              <w:rPr>
                <w:rFonts w:eastAsia="Verdana"/>
                <w:sz w:val="18"/>
                <w:szCs w:val="18"/>
              </w:rPr>
              <w:t xml:space="preserve">y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sz w:val="18"/>
                <w:szCs w:val="18"/>
              </w:rPr>
              <w:t xml:space="preserve">f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eleme</w:t>
            </w:r>
            <w:r w:rsidRPr="00D02672">
              <w:rPr>
                <w:rFonts w:eastAsia="Verdana"/>
                <w:sz w:val="18"/>
                <w:szCs w:val="18"/>
              </w:rPr>
              <w:t>nts</w:t>
            </w:r>
          </w:p>
          <w:p w14:paraId="1E85D066" w14:textId="77777777" w:rsidR="007F0688" w:rsidRPr="00D02672" w:rsidRDefault="007F0688" w:rsidP="007F0688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z w:val="18"/>
                <w:szCs w:val="18"/>
              </w:rPr>
            </w:pPr>
          </w:p>
          <w:p w14:paraId="0E9893CD" w14:textId="77777777" w:rsidR="007F0688" w:rsidRDefault="007F0688" w:rsidP="007F0688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2.2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understand how</w:t>
            </w:r>
            <w:r w:rsidRPr="00D02672">
              <w:rPr>
                <w:rFonts w:eastAsia="Verdana"/>
                <w:sz w:val="18"/>
                <w:szCs w:val="18"/>
              </w:rPr>
              <w:t xml:space="preserve">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th</w:t>
            </w:r>
            <w:r w:rsidRPr="00D02672">
              <w:rPr>
                <w:rFonts w:eastAsia="Verdana"/>
                <w:sz w:val="18"/>
                <w:szCs w:val="18"/>
              </w:rPr>
              <w:t xml:space="preserve">e differences between the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reaction</w:t>
            </w:r>
            <w:r w:rsidRPr="00D02672">
              <w:rPr>
                <w:rFonts w:eastAsia="Verdana"/>
                <w:sz w:val="18"/>
                <w:szCs w:val="18"/>
              </w:rPr>
              <w:t xml:space="preserve">s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o</w:t>
            </w:r>
            <w:r w:rsidRPr="00D02672">
              <w:rPr>
                <w:rFonts w:eastAsia="Verdana"/>
                <w:sz w:val="18"/>
                <w:szCs w:val="18"/>
              </w:rPr>
              <w:t xml:space="preserve">f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D02672">
              <w:rPr>
                <w:rFonts w:eastAsia="Verdana"/>
                <w:sz w:val="18"/>
                <w:szCs w:val="18"/>
              </w:rPr>
              <w:t>h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es</w:t>
            </w:r>
            <w:r w:rsidRPr="00D02672">
              <w:rPr>
                <w:rFonts w:eastAsia="Verdana"/>
                <w:sz w:val="18"/>
                <w:szCs w:val="18"/>
              </w:rPr>
              <w:t xml:space="preserve">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l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ement</w:t>
            </w:r>
            <w:r w:rsidRPr="00D02672">
              <w:rPr>
                <w:rFonts w:eastAsia="Verdana"/>
                <w:sz w:val="18"/>
                <w:szCs w:val="18"/>
              </w:rPr>
              <w:t>s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w</w:t>
            </w:r>
            <w:r w:rsidRPr="00D02672">
              <w:rPr>
                <w:rFonts w:eastAsia="Verdana"/>
                <w:spacing w:val="-2"/>
                <w:sz w:val="18"/>
                <w:szCs w:val="18"/>
              </w:rPr>
              <w:t>i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</w:t>
            </w:r>
            <w:r w:rsidRPr="00D02672">
              <w:rPr>
                <w:rFonts w:eastAsia="Verdana"/>
                <w:sz w:val="18"/>
                <w:szCs w:val="18"/>
              </w:rPr>
              <w:t>h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 xml:space="preserve"> air and wate</w:t>
            </w:r>
            <w:r w:rsidRPr="00D02672">
              <w:rPr>
                <w:rFonts w:eastAsia="Verdana"/>
                <w:sz w:val="18"/>
                <w:szCs w:val="18"/>
              </w:rPr>
              <w:t xml:space="preserve">r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provid</w:t>
            </w:r>
            <w:r w:rsidRPr="00D02672">
              <w:rPr>
                <w:rFonts w:eastAsia="Verdana"/>
                <w:sz w:val="18"/>
                <w:szCs w:val="18"/>
              </w:rPr>
              <w:t xml:space="preserve">e evidence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fo</w:t>
            </w:r>
            <w:r w:rsidRPr="00D02672">
              <w:rPr>
                <w:rFonts w:eastAsia="Verdana"/>
                <w:sz w:val="18"/>
                <w:szCs w:val="18"/>
              </w:rPr>
              <w:t xml:space="preserve">r the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trend in reactivity in Group 1</w:t>
            </w:r>
          </w:p>
          <w:p w14:paraId="0E6AE289" w14:textId="77777777" w:rsidR="007F0688" w:rsidRPr="00D02672" w:rsidRDefault="007F0688" w:rsidP="007F0688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35816B0D" w14:textId="77777777" w:rsidR="007F0688" w:rsidRPr="00D02672" w:rsidRDefault="007F0688" w:rsidP="007F0688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40F49DED" w14:textId="77777777" w:rsidR="007F0688" w:rsidRPr="00D02672" w:rsidRDefault="007F0688" w:rsidP="007F0688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2.3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use knowledge of trends in Group 1 to predict the properties of other alkali metals</w:t>
            </w:r>
          </w:p>
          <w:p w14:paraId="035B5C87" w14:textId="77777777" w:rsidR="007F0688" w:rsidRPr="00D02672" w:rsidRDefault="007F0688" w:rsidP="007F0688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2CBDA712" w14:textId="62F948D5" w:rsidR="004E232E" w:rsidRPr="007D405D" w:rsidRDefault="007F0688" w:rsidP="007F0688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b/>
                <w:sz w:val="18"/>
                <w:szCs w:val="18"/>
              </w:rPr>
              <w:t>2.4C explain the trend in reactivity in Group 1 in terms of electronic configurations.</w:t>
            </w:r>
          </w:p>
        </w:tc>
        <w:tc>
          <w:tcPr>
            <w:tcW w:w="4031" w:type="dxa"/>
          </w:tcPr>
          <w:p w14:paraId="6B2C8687" w14:textId="0342C4C0" w:rsidR="0089564C" w:rsidRPr="0089564C" w:rsidRDefault="0089564C" w:rsidP="008956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89564C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Section 2 Lesson 1 – The Periodic Table and Group 1 Elements.    </w:t>
            </w:r>
          </w:p>
          <w:p w14:paraId="2631DB16" w14:textId="77777777" w:rsidR="0089564C" w:rsidRPr="0089564C" w:rsidRDefault="0089564C" w:rsidP="00895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EA026" w14:textId="33829F4A" w:rsidR="0089564C" w:rsidRPr="0089564C" w:rsidRDefault="0089564C" w:rsidP="0089564C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r w:rsidRPr="0089564C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Powerpoint: Section 2 Lesson 1 – The Periodic Table and Group 1 Elements.   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2D737FD" w14:textId="77777777" w:rsidR="00D533B9" w:rsidRDefault="0014045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123 – Physical properties</w:t>
            </w:r>
          </w:p>
          <w:p w14:paraId="606F05EC" w14:textId="77777777" w:rsidR="0014045E" w:rsidRDefault="0014045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124 – Storage and handling</w:t>
            </w:r>
          </w:p>
          <w:p w14:paraId="02C32A6E" w14:textId="77777777" w:rsidR="0014045E" w:rsidRDefault="0014045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124 – A family of elements</w:t>
            </w:r>
          </w:p>
          <w:p w14:paraId="7D0A07C5" w14:textId="77777777" w:rsidR="0014045E" w:rsidRDefault="0014045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125 – reactions with water</w:t>
            </w:r>
          </w:p>
          <w:p w14:paraId="07A230A2" w14:textId="77777777" w:rsidR="0014045E" w:rsidRDefault="0014045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126 – Explaining the increase in reactivity</w:t>
            </w:r>
          </w:p>
          <w:p w14:paraId="3EBAA834" w14:textId="77777777" w:rsidR="0014045E" w:rsidRDefault="0014045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127 – Reactions of the alkali metals with the air</w:t>
            </w:r>
          </w:p>
          <w:p w14:paraId="333E4FE3" w14:textId="77777777" w:rsidR="0014045E" w:rsidRDefault="0014045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127 – Compounds of the alkali</w:t>
            </w:r>
            <w:r w:rsidR="00585A15">
              <w:rPr>
                <w:rFonts w:ascii="Arial" w:hAnsi="Arial" w:cs="Arial"/>
                <w:sz w:val="24"/>
                <w:szCs w:val="24"/>
              </w:rPr>
              <w:t xml:space="preserve"> metals</w:t>
            </w:r>
          </w:p>
          <w:p w14:paraId="1E1BBF6F" w14:textId="77777777" w:rsidR="00585A15" w:rsidRDefault="00585A1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127 – summarising the main features of the Group 1 elements</w:t>
            </w:r>
          </w:p>
          <w:p w14:paraId="57A49613" w14:textId="7F745C4F" w:rsidR="00585A15" w:rsidRPr="001762B8" w:rsidRDefault="00585A15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128 – Predicting the properties of Francium</w:t>
            </w:r>
          </w:p>
        </w:tc>
        <w:tc>
          <w:tcPr>
            <w:tcW w:w="4725" w:type="dxa"/>
            <w:gridSpan w:val="2"/>
          </w:tcPr>
          <w:p w14:paraId="601E2B0C" w14:textId="400AF7A2" w:rsidR="00D533B9" w:rsidRDefault="00585A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129   Qs (1) to (4)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357AE401" w:rsidR="00D533B9" w:rsidRPr="00DC6CB7" w:rsidRDefault="0037266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11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56C9455" w:rsidR="00D533B9" w:rsidRPr="002D0942" w:rsidRDefault="003726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2-11 The Alkali Metals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03000E3B" w:rsidR="00D533B9" w:rsidRDefault="00372661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2-11 The Alkali Metals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7BE2BC30" w:rsidR="00D533B9" w:rsidRDefault="00372661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12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298BBA4D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320C8"/>
    <w:rsid w:val="000979BE"/>
    <w:rsid w:val="000E1199"/>
    <w:rsid w:val="0014045E"/>
    <w:rsid w:val="00161C2A"/>
    <w:rsid w:val="001762B8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635BE"/>
    <w:rsid w:val="00372661"/>
    <w:rsid w:val="003C521F"/>
    <w:rsid w:val="003E2012"/>
    <w:rsid w:val="00424877"/>
    <w:rsid w:val="00457A9D"/>
    <w:rsid w:val="004A6884"/>
    <w:rsid w:val="004E232E"/>
    <w:rsid w:val="004E53D5"/>
    <w:rsid w:val="005829B8"/>
    <w:rsid w:val="00585A15"/>
    <w:rsid w:val="005E1BCE"/>
    <w:rsid w:val="005F3331"/>
    <w:rsid w:val="00651935"/>
    <w:rsid w:val="00665071"/>
    <w:rsid w:val="00691023"/>
    <w:rsid w:val="006E2745"/>
    <w:rsid w:val="007203A9"/>
    <w:rsid w:val="007A1C7B"/>
    <w:rsid w:val="007D108C"/>
    <w:rsid w:val="007D405D"/>
    <w:rsid w:val="007F0688"/>
    <w:rsid w:val="007F5D5A"/>
    <w:rsid w:val="00841EC9"/>
    <w:rsid w:val="00844A4C"/>
    <w:rsid w:val="0089564C"/>
    <w:rsid w:val="009713DB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DE6389"/>
    <w:rsid w:val="00E31F9B"/>
    <w:rsid w:val="00E976BB"/>
    <w:rsid w:val="00F0626D"/>
    <w:rsid w:val="00F2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4A6884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2017-08-02T17:10:00Z</dcterms:created>
  <dcterms:modified xsi:type="dcterms:W3CDTF">2017-11-21T14:24:00Z</dcterms:modified>
</cp:coreProperties>
</file>